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33" w:rsidRDefault="00F16733" w:rsidP="008E60DD">
      <w:pPr>
        <w:jc w:val="center"/>
        <w:rPr>
          <w:b/>
          <w:u w:val="single"/>
        </w:rPr>
      </w:pPr>
      <w:bookmarkStart w:id="0" w:name="_GoBack"/>
      <w:bookmarkEnd w:id="0"/>
    </w:p>
    <w:p w:rsidR="00A24738" w:rsidRDefault="00DB63DA" w:rsidP="008E60DD">
      <w:pPr>
        <w:jc w:val="center"/>
        <w:rPr>
          <w:b/>
          <w:u w:val="single"/>
        </w:rPr>
      </w:pPr>
      <w:r w:rsidRPr="008E60DD">
        <w:rPr>
          <w:b/>
          <w:u w:val="single"/>
        </w:rPr>
        <w:t>Recogida de firmas para la solicitud de la concesión de los permisos necesarios para la reparación del puente sobre el Arroyo Mediano</w:t>
      </w:r>
    </w:p>
    <w:p w:rsidR="008E60DD" w:rsidRPr="008E60DD" w:rsidRDefault="008E60DD" w:rsidP="008E60DD">
      <w:pPr>
        <w:jc w:val="center"/>
        <w:rPr>
          <w:b/>
          <w:u w:val="single"/>
        </w:rPr>
      </w:pPr>
    </w:p>
    <w:p w:rsidR="00DB63DA" w:rsidRDefault="00DB63DA" w:rsidP="008E60DD">
      <w:pPr>
        <w:jc w:val="both"/>
      </w:pPr>
      <w:r>
        <w:t>Desde hace seis meses el puente de la Cañada Real Segoviana que cruza el Arroyo Mediano se encuentra caído por el paso de un camión.</w:t>
      </w:r>
    </w:p>
    <w:p w:rsidR="005A002D" w:rsidRDefault="005A002D" w:rsidP="008E60DD">
      <w:pPr>
        <w:jc w:val="both"/>
      </w:pPr>
      <w:r>
        <w:t xml:space="preserve">El </w:t>
      </w:r>
      <w:r w:rsidR="008E60DD">
        <w:t>A</w:t>
      </w:r>
      <w:r>
        <w:t xml:space="preserve">yuntamiento realizó las actuaciones de contacto con la aseguradora del camión para solicitar el pago del arreglo. Por </w:t>
      </w:r>
      <w:r w:rsidR="008E60DD">
        <w:t>otro lado, el 19 de febrero el A</w:t>
      </w:r>
      <w:r>
        <w:t>yuntamiento solicitó los permisos que se exige obtener</w:t>
      </w:r>
      <w:r w:rsidR="00485A73">
        <w:t xml:space="preserve"> previamente</w:t>
      </w:r>
      <w:r>
        <w:t xml:space="preserve"> para</w:t>
      </w:r>
      <w:r w:rsidR="00485A73">
        <w:t xml:space="preserve"> poder proceder a</w:t>
      </w:r>
      <w:r>
        <w:t xml:space="preserve"> la reposición de dicho puente (Vías Pecuarias y Confederación </w:t>
      </w:r>
      <w:r w:rsidR="008E60DD">
        <w:t>H</w:t>
      </w:r>
      <w:r>
        <w:t>idrográfica del Tajo).</w:t>
      </w:r>
    </w:p>
    <w:p w:rsidR="00485A73" w:rsidRDefault="005A002D" w:rsidP="008E60DD">
      <w:pPr>
        <w:jc w:val="both"/>
      </w:pPr>
      <w:r>
        <w:t xml:space="preserve">El permiso solicitado a </w:t>
      </w:r>
      <w:r w:rsidR="008E60DD">
        <w:t>V</w:t>
      </w:r>
      <w:r>
        <w:t xml:space="preserve">ías </w:t>
      </w:r>
      <w:r w:rsidR="008E60DD">
        <w:t>P</w:t>
      </w:r>
      <w:r>
        <w:t xml:space="preserve">ecuarias fue concedido favorablemente </w:t>
      </w:r>
      <w:r w:rsidR="00485A73">
        <w:t>el pasado 12 de abril.</w:t>
      </w:r>
    </w:p>
    <w:p w:rsidR="005A002D" w:rsidRDefault="008E60DD" w:rsidP="008E60DD">
      <w:pPr>
        <w:jc w:val="both"/>
      </w:pPr>
      <w:r>
        <w:t xml:space="preserve">No obstante, </w:t>
      </w:r>
      <w:r w:rsidR="005A002D">
        <w:t>la solicitud de</w:t>
      </w:r>
      <w:r w:rsidR="00513289">
        <w:t xml:space="preserve"> permiso a</w:t>
      </w:r>
      <w:r w:rsidR="005A002D">
        <w:t xml:space="preserve"> la Confederación Hidrográfica del Tajo no fue contestada hasta</w:t>
      </w:r>
      <w:r w:rsidR="00485A73">
        <w:t xml:space="preserve"> el 25 de </w:t>
      </w:r>
      <w:r w:rsidR="00513289">
        <w:t>mayo de 2016</w:t>
      </w:r>
      <w:r w:rsidR="005A002D">
        <w:t>. En dich</w:t>
      </w:r>
      <w:r>
        <w:t>a</w:t>
      </w:r>
      <w:r w:rsidR="005A002D">
        <w:t xml:space="preserve"> contestación la Confederación solicita, para el mero hecho de repo</w:t>
      </w:r>
      <w:r w:rsidR="00485A73">
        <w:t xml:space="preserve">ner el puente a su estado anterior al accidente, una serie de informes y documentación de dificilísima y costosísima elaboración. El </w:t>
      </w:r>
      <w:r>
        <w:t>A</w:t>
      </w:r>
      <w:r w:rsidR="00485A73">
        <w:t>yuntamiento ya ha procedido a la contratación de la redacción de dichos informes. Entre otros</w:t>
      </w:r>
      <w:r>
        <w:t>,</w:t>
      </w:r>
      <w:r w:rsidR="00485A73">
        <w:t xml:space="preserve"> se solicita:</w:t>
      </w:r>
    </w:p>
    <w:p w:rsidR="006829C1" w:rsidRDefault="006829C1" w:rsidP="008E60DD">
      <w:pPr>
        <w:jc w:val="both"/>
      </w:pPr>
    </w:p>
    <w:p w:rsidR="006829C1" w:rsidRPr="008E60DD" w:rsidRDefault="006829C1" w:rsidP="006829C1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8" w:after="0" w:line="240" w:lineRule="auto"/>
        <w:jc w:val="both"/>
      </w:pPr>
      <w:r w:rsidRPr="008E60DD">
        <w:t>Declaración de Impacto Ambiental de las actuaciones solicitadas</w:t>
      </w:r>
      <w:r>
        <w:t>.</w:t>
      </w:r>
    </w:p>
    <w:p w:rsidR="006829C1" w:rsidRPr="008E60DD" w:rsidRDefault="008E60DD" w:rsidP="006829C1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8E60DD">
        <w:t>Memoria descriptiva de la actuación en la que se defina el</w:t>
      </w:r>
      <w:r>
        <w:t xml:space="preserve"> </w:t>
      </w:r>
      <w:r w:rsidRPr="008E60DD">
        <w:t>método constructivo y las obras auxiliares necesarias.</w:t>
      </w:r>
    </w:p>
    <w:p w:rsidR="006829C1" w:rsidRDefault="008E60DD" w:rsidP="006829C1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98" w:after="0" w:line="240" w:lineRule="auto"/>
        <w:jc w:val="both"/>
      </w:pPr>
      <w:r w:rsidRPr="008E60DD">
        <w:t>Estudio hidrológico-hidráulico, que justifique la capacidad de desagüe de la obra para avenidas de periodo de retorno de, al menos, 100 años</w:t>
      </w:r>
      <w:r>
        <w:t>.</w:t>
      </w:r>
    </w:p>
    <w:p w:rsidR="006829C1" w:rsidRPr="008E60DD" w:rsidRDefault="008E60DD" w:rsidP="006829C1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98" w:after="0" w:line="240" w:lineRule="auto"/>
        <w:jc w:val="both"/>
      </w:pPr>
      <w:r w:rsidRPr="008E60DD">
        <w:t>Planos en planta de la zona a escala adecuada, georreferenciados y debidamente acotados, en los que se refleje el cauce con las zonas de servidumbre de uso público</w:t>
      </w:r>
      <w:r>
        <w:t xml:space="preserve"> </w:t>
      </w:r>
      <w:r w:rsidRPr="008E60DD">
        <w:t>y las zonas inundables por avenidas de periodos de ret</w:t>
      </w:r>
      <w:r>
        <w:t>orno de al menos 100 años.</w:t>
      </w:r>
    </w:p>
    <w:p w:rsidR="008E60DD" w:rsidRPr="008E60DD" w:rsidRDefault="008E60DD" w:rsidP="006829C1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8E60DD">
        <w:t>Perfiles transversales del cauce, georreferenciados en planta, debidamente acotados horizontal y verticalmente, en los que se refleje el cauce, las zonas de servidumbre de uso público de 5 metros de anchura estimadas a partir de los taludes superiores del cauce y las zonas inundables por avenidas de periodos de, al menos, 100 años</w:t>
      </w:r>
      <w:r w:rsidR="006829C1">
        <w:t>.</w:t>
      </w:r>
    </w:p>
    <w:p w:rsidR="006829C1" w:rsidRDefault="006829C1" w:rsidP="008E60DD">
      <w:pPr>
        <w:jc w:val="both"/>
      </w:pPr>
    </w:p>
    <w:p w:rsidR="00485A73" w:rsidRDefault="00485A73" w:rsidP="008E60DD">
      <w:pPr>
        <w:jc w:val="both"/>
      </w:pPr>
      <w:r>
        <w:t>Otros pueblos vecinos han llevado a cabo reparaciones similares en puentes sufriendo sanciones de cientos de miles de euros por no haber obtenido los permisos nec</w:t>
      </w:r>
      <w:r w:rsidR="00513289">
        <w:t>esarios. Además, la tramitación de</w:t>
      </w:r>
      <w:r>
        <w:t xml:space="preserve"> dichos permisos se ha demorado por periodos superiores a 5 años.</w:t>
      </w:r>
    </w:p>
    <w:p w:rsidR="00485A73" w:rsidRDefault="00485A73" w:rsidP="008E60DD">
      <w:pPr>
        <w:jc w:val="both"/>
      </w:pPr>
      <w:r>
        <w:t>Ante estos hechos los abajo firmantes solicitan a la Confederación Hidrográfica del Tajo la agilización en la tramitación de los permisos necesarios</w:t>
      </w:r>
      <w:r w:rsidR="00513289">
        <w:t>, al tratarse de una mera y rigurosa reposición del puente a su estado anterior al accidente.</w:t>
      </w:r>
    </w:p>
    <w:p w:rsidR="003C1405" w:rsidRDefault="003C1405" w:rsidP="008E60DD">
      <w:pPr>
        <w:jc w:val="both"/>
      </w:pPr>
    </w:p>
    <w:p w:rsidR="003C1405" w:rsidRDefault="003C1405" w:rsidP="008E60DD">
      <w:pPr>
        <w:jc w:val="both"/>
      </w:pPr>
    </w:p>
    <w:tbl>
      <w:tblPr>
        <w:tblStyle w:val="Tablaconcuadrcula"/>
        <w:tblW w:w="11129" w:type="dxa"/>
        <w:tblInd w:w="-1168" w:type="dxa"/>
        <w:tblLook w:val="04A0" w:firstRow="1" w:lastRow="0" w:firstColumn="1" w:lastColumn="0" w:noHBand="0" w:noVBand="1"/>
      </w:tblPr>
      <w:tblGrid>
        <w:gridCol w:w="3686"/>
        <w:gridCol w:w="2161"/>
        <w:gridCol w:w="1808"/>
        <w:gridCol w:w="3474"/>
      </w:tblGrid>
      <w:tr w:rsidR="003C1405" w:rsidRPr="003C1405" w:rsidTr="003C1405">
        <w:tc>
          <w:tcPr>
            <w:tcW w:w="3686" w:type="dxa"/>
          </w:tcPr>
          <w:p w:rsidR="003C1405" w:rsidRPr="003C1405" w:rsidRDefault="003C1405" w:rsidP="003C1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NOMBRE Y APELLIDOS</w:t>
            </w:r>
          </w:p>
        </w:tc>
        <w:tc>
          <w:tcPr>
            <w:tcW w:w="2161" w:type="dxa"/>
          </w:tcPr>
          <w:p w:rsidR="003C1405" w:rsidRPr="003C1405" w:rsidRDefault="003C1405" w:rsidP="003C1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DNI</w:t>
            </w:r>
          </w:p>
        </w:tc>
        <w:tc>
          <w:tcPr>
            <w:tcW w:w="1808" w:type="dxa"/>
          </w:tcPr>
          <w:p w:rsidR="003C1405" w:rsidRPr="003C1405" w:rsidRDefault="003C1405" w:rsidP="003C1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474" w:type="dxa"/>
          </w:tcPr>
          <w:p w:rsidR="003C1405" w:rsidRPr="003C1405" w:rsidRDefault="003C1405" w:rsidP="003C1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</w:t>
            </w: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2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3C1405" w:rsidTr="003C1405">
        <w:trPr>
          <w:trHeight w:val="524"/>
        </w:trPr>
        <w:tc>
          <w:tcPr>
            <w:tcW w:w="3686" w:type="dxa"/>
          </w:tcPr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</w:tc>
        <w:tc>
          <w:tcPr>
            <w:tcW w:w="2161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1808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3474" w:type="dxa"/>
          </w:tcPr>
          <w:p w:rsidR="003C1405" w:rsidRDefault="003C1405" w:rsidP="008E60DD">
            <w:pPr>
              <w:jc w:val="both"/>
            </w:pPr>
          </w:p>
        </w:tc>
      </w:tr>
      <w:tr w:rsidR="003C1405" w:rsidTr="003C1405">
        <w:trPr>
          <w:trHeight w:val="559"/>
        </w:trPr>
        <w:tc>
          <w:tcPr>
            <w:tcW w:w="3686" w:type="dxa"/>
          </w:tcPr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</w:tc>
        <w:tc>
          <w:tcPr>
            <w:tcW w:w="2161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1808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3474" w:type="dxa"/>
          </w:tcPr>
          <w:p w:rsidR="003C1405" w:rsidRDefault="003C1405" w:rsidP="008E60DD">
            <w:pPr>
              <w:jc w:val="both"/>
            </w:pPr>
          </w:p>
        </w:tc>
      </w:tr>
      <w:tr w:rsidR="00F16733" w:rsidTr="003C1405">
        <w:trPr>
          <w:trHeight w:val="55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F16733" w:rsidTr="003C1405">
        <w:trPr>
          <w:trHeight w:val="554"/>
        </w:trPr>
        <w:tc>
          <w:tcPr>
            <w:tcW w:w="3686" w:type="dxa"/>
          </w:tcPr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  <w:p w:rsidR="00F16733" w:rsidRDefault="00F16733" w:rsidP="008E60DD">
            <w:pPr>
              <w:jc w:val="both"/>
            </w:pPr>
          </w:p>
        </w:tc>
        <w:tc>
          <w:tcPr>
            <w:tcW w:w="2161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1808" w:type="dxa"/>
          </w:tcPr>
          <w:p w:rsidR="00F16733" w:rsidRDefault="00F16733" w:rsidP="008E60DD">
            <w:pPr>
              <w:jc w:val="both"/>
            </w:pPr>
          </w:p>
        </w:tc>
        <w:tc>
          <w:tcPr>
            <w:tcW w:w="3474" w:type="dxa"/>
          </w:tcPr>
          <w:p w:rsidR="00F16733" w:rsidRDefault="00F16733" w:rsidP="008E60DD">
            <w:pPr>
              <w:jc w:val="both"/>
            </w:pPr>
          </w:p>
        </w:tc>
      </w:tr>
      <w:tr w:rsidR="003C1405" w:rsidTr="003C1405">
        <w:trPr>
          <w:trHeight w:val="554"/>
        </w:trPr>
        <w:tc>
          <w:tcPr>
            <w:tcW w:w="3686" w:type="dxa"/>
          </w:tcPr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</w:tc>
        <w:tc>
          <w:tcPr>
            <w:tcW w:w="2161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1808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3474" w:type="dxa"/>
          </w:tcPr>
          <w:p w:rsidR="003C1405" w:rsidRDefault="003C1405" w:rsidP="008E60DD">
            <w:pPr>
              <w:jc w:val="both"/>
            </w:pPr>
          </w:p>
        </w:tc>
      </w:tr>
      <w:tr w:rsidR="003C1405" w:rsidTr="003C1405">
        <w:trPr>
          <w:trHeight w:val="562"/>
        </w:trPr>
        <w:tc>
          <w:tcPr>
            <w:tcW w:w="3686" w:type="dxa"/>
          </w:tcPr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  <w:p w:rsidR="003C1405" w:rsidRDefault="003C1405" w:rsidP="008E60DD">
            <w:pPr>
              <w:jc w:val="both"/>
            </w:pPr>
          </w:p>
        </w:tc>
        <w:tc>
          <w:tcPr>
            <w:tcW w:w="2161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1808" w:type="dxa"/>
          </w:tcPr>
          <w:p w:rsidR="003C1405" w:rsidRDefault="003C1405" w:rsidP="008E60DD">
            <w:pPr>
              <w:jc w:val="both"/>
            </w:pPr>
          </w:p>
        </w:tc>
        <w:tc>
          <w:tcPr>
            <w:tcW w:w="3474" w:type="dxa"/>
          </w:tcPr>
          <w:p w:rsidR="003C1405" w:rsidRDefault="003C1405" w:rsidP="008E60DD">
            <w:pPr>
              <w:jc w:val="both"/>
            </w:pPr>
          </w:p>
        </w:tc>
      </w:tr>
    </w:tbl>
    <w:p w:rsidR="003C1405" w:rsidRDefault="003C1405" w:rsidP="008E60DD">
      <w:pPr>
        <w:jc w:val="both"/>
      </w:pPr>
    </w:p>
    <w:sectPr w:rsidR="003C1405" w:rsidSect="00F16733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EBA" w:rsidRDefault="006D4EBA" w:rsidP="008E60DD">
      <w:pPr>
        <w:spacing w:after="0" w:line="240" w:lineRule="auto"/>
      </w:pPr>
      <w:r>
        <w:separator/>
      </w:r>
    </w:p>
  </w:endnote>
  <w:endnote w:type="continuationSeparator" w:id="0">
    <w:p w:rsidR="006D4EBA" w:rsidRDefault="006D4EBA" w:rsidP="008E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EBA" w:rsidRDefault="006D4EBA" w:rsidP="008E60DD">
      <w:pPr>
        <w:spacing w:after="0" w:line="240" w:lineRule="auto"/>
      </w:pPr>
      <w:r>
        <w:separator/>
      </w:r>
    </w:p>
  </w:footnote>
  <w:footnote w:type="continuationSeparator" w:id="0">
    <w:p w:rsidR="006D4EBA" w:rsidRDefault="006D4EBA" w:rsidP="008E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0DD" w:rsidRDefault="008E60DD" w:rsidP="008E60DD">
    <w:pPr>
      <w:jc w:val="both"/>
    </w:pPr>
    <w:r w:rsidRPr="0013775D">
      <w:rPr>
        <w:noProof/>
        <w:lang w:eastAsia="es-ES"/>
      </w:rPr>
      <w:drawing>
        <wp:inline distT="0" distB="0" distL="0" distR="0">
          <wp:extent cx="4048125" cy="1066247"/>
          <wp:effectExtent l="19050" t="0" r="9525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S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06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s-ES"/>
      </w:rPr>
      <w:drawing>
        <wp:inline distT="0" distB="0" distL="0" distR="0">
          <wp:extent cx="606506" cy="952500"/>
          <wp:effectExtent l="19050" t="0" r="3094" b="0"/>
          <wp:docPr id="2" name="Imagen 1" descr="E:\VARIOS\SotoenMar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VARIOS\SotoenMarch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06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60DD" w:rsidRDefault="008E60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17D5D"/>
    <w:multiLevelType w:val="hybridMultilevel"/>
    <w:tmpl w:val="D2C8FE2A"/>
    <w:lvl w:ilvl="0" w:tplc="0A92C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DA"/>
    <w:rsid w:val="00037C6A"/>
    <w:rsid w:val="003C1405"/>
    <w:rsid w:val="0046366B"/>
    <w:rsid w:val="00485A73"/>
    <w:rsid w:val="00513289"/>
    <w:rsid w:val="005A002D"/>
    <w:rsid w:val="006829C1"/>
    <w:rsid w:val="006D4EBA"/>
    <w:rsid w:val="008E60DD"/>
    <w:rsid w:val="009222BB"/>
    <w:rsid w:val="00AE68F3"/>
    <w:rsid w:val="00B768B7"/>
    <w:rsid w:val="00DB63DA"/>
    <w:rsid w:val="00DF7F74"/>
    <w:rsid w:val="00E97B0A"/>
    <w:rsid w:val="00F16733"/>
    <w:rsid w:val="00FF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934DD-36E7-45E1-94E5-4317F346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A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E6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60DD"/>
  </w:style>
  <w:style w:type="paragraph" w:styleId="Piedepgina">
    <w:name w:val="footer"/>
    <w:basedOn w:val="Normal"/>
    <w:link w:val="PiedepginaCar"/>
    <w:uiPriority w:val="99"/>
    <w:semiHidden/>
    <w:unhideWhenUsed/>
    <w:rsid w:val="008E6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60DD"/>
  </w:style>
  <w:style w:type="paragraph" w:styleId="Textodeglobo">
    <w:name w:val="Balloon Text"/>
    <w:basedOn w:val="Normal"/>
    <w:link w:val="TextodegloboCar"/>
    <w:uiPriority w:val="99"/>
    <w:semiHidden/>
    <w:unhideWhenUsed/>
    <w:rsid w:val="008E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0D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8E60D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60DD"/>
    <w:rPr>
      <w:rFonts w:ascii="Arial" w:hAnsi="Arial" w:cs="Arial"/>
      <w:sz w:val="20"/>
      <w:szCs w:val="20"/>
    </w:rPr>
  </w:style>
  <w:style w:type="table" w:styleId="Tablaconcuadrcula">
    <w:name w:val="Table Grid"/>
    <w:basedOn w:val="Tablanormal"/>
    <w:uiPriority w:val="39"/>
    <w:rsid w:val="003C1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Lobato</dc:creator>
  <cp:lastModifiedBy>María Revilla</cp:lastModifiedBy>
  <cp:revision>2</cp:revision>
  <cp:lastPrinted>2016-07-06T10:01:00Z</cp:lastPrinted>
  <dcterms:created xsi:type="dcterms:W3CDTF">2016-07-12T07:10:00Z</dcterms:created>
  <dcterms:modified xsi:type="dcterms:W3CDTF">2016-07-12T07:10:00Z</dcterms:modified>
</cp:coreProperties>
</file>